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rPr>
          <w:rFonts w:hint="eastAsia" w:ascii="仿宋_GB2312" w:hAnsi="仿宋_GB2312" w:eastAsia="仿宋_GB2312" w:cs="仿宋_GB2312"/>
          <w:color w:val="auto"/>
          <w:sz w:val="30"/>
          <w:szCs w:val="30"/>
          <w:highlight w:val="none"/>
          <w:lang w:eastAsia="zh-CN"/>
        </w:rPr>
      </w:pPr>
      <w:bookmarkStart w:id="1" w:name="_GoBack"/>
      <w:r>
        <w:rPr>
          <w:rFonts w:hint="eastAsia" w:ascii="仿宋_GB2312" w:hAnsi="仿宋_GB2312" w:eastAsia="仿宋_GB2312" w:cs="仿宋_GB2312"/>
          <w:color w:val="auto"/>
          <w:sz w:val="30"/>
          <w:szCs w:val="30"/>
          <w:highlight w:val="none"/>
          <w:lang w:eastAsia="zh-CN"/>
        </w:rPr>
        <w:t>附件：</w:t>
      </w:r>
    </w:p>
    <w:p>
      <w:pPr>
        <w:adjustRightInd w:val="0"/>
        <w:snapToGrid w:val="0"/>
        <w:spacing w:line="460" w:lineRule="exact"/>
        <w:jc w:val="center"/>
        <w:rPr>
          <w:rFonts w:hint="eastAsia" w:ascii="方正小标宋简体" w:hAnsi="方正小标宋简体" w:eastAsia="方正小标宋简体" w:cs="方正小标宋简体"/>
          <w:bCs/>
          <w:color w:val="auto"/>
          <w:sz w:val="36"/>
          <w:szCs w:val="36"/>
          <w:highlight w:val="none"/>
          <w:lang w:eastAsia="zh-CN"/>
        </w:rPr>
      </w:pPr>
      <w:r>
        <w:rPr>
          <w:rFonts w:hint="eastAsia" w:ascii="方正小标宋简体" w:hAnsi="方正小标宋简体" w:eastAsia="方正小标宋简体" w:cs="方正小标宋简体"/>
          <w:bCs/>
          <w:color w:val="auto"/>
          <w:sz w:val="36"/>
          <w:szCs w:val="36"/>
          <w:highlight w:val="none"/>
          <w:lang w:eastAsia="zh-CN"/>
        </w:rPr>
        <w:t>真空平行浓缩仪的采购需求</w:t>
      </w:r>
    </w:p>
    <w:p>
      <w:pPr>
        <w:pStyle w:val="179"/>
        <w:rPr>
          <w:color w:val="auto"/>
          <w:highlight w:val="none"/>
          <w:lang w:eastAsia="zh-CN"/>
        </w:rPr>
      </w:pP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bookmarkStart w:id="0" w:name="_Toc239067551"/>
      <w:r>
        <w:rPr>
          <w:rFonts w:hint="eastAsia" w:ascii="黑体" w:hAnsi="黑体" w:eastAsia="黑体"/>
          <w:b w:val="0"/>
          <w:bCs w:val="0"/>
          <w:color w:val="auto"/>
          <w:sz w:val="28"/>
          <w:highlight w:val="none"/>
          <w:lang w:val="en-US" w:eastAsia="zh-CN"/>
        </w:rPr>
        <w:t>1.</w:t>
      </w:r>
      <w:r>
        <w:rPr>
          <w:rFonts w:hint="eastAsia" w:ascii="黑体" w:hAnsi="黑体" w:eastAsia="黑体"/>
          <w:b w:val="0"/>
          <w:bCs w:val="0"/>
          <w:color w:val="auto"/>
          <w:sz w:val="28"/>
          <w:highlight w:val="none"/>
          <w:lang w:eastAsia="zh-CN"/>
        </w:rPr>
        <w:t>主要用途</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真空平行浓缩仪主要用于环境中土壤和水等各种样品残留测定的前处理，实现多样品在真空负压的状态下进行快速且平行的溶剂浓缩，挥发的有机试剂可进行回收。</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eastAsia="zh-CN"/>
        </w:rPr>
        <w:t>2.技术参数</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2.1支持至少16个260ml带定容尾管样品同时进行浓缩；</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2.2定量浓缩杯容量：65mL、150mL、260mL等规格可选，具备定量浓缩尾管，浓缩后可直接进行定容操作。</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2.3所选浓缩尾管可与涡旋氮吹浓缩仪兼容。</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2.4样品架与配套盖板采用一体式上翻盖设计支持两种开盖方式。整体密封时可快速合上，无需拆卸锁紧即可轻松关盖密封浓缩杯，操作简单便捷；单一通道浓缩完成后可进行独立控制，无需整体泄压即可及时取出，避免样品过度浓缩回收率降低的情况出现，无需拆卸锁紧即可轻松关盖密封浓缩杯。</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2.5水浴槽采用四面全透视玻璃设计，浓缩杯悬空放置，并具有照明功能，无须打开上盖即可观察到是否到达浓缩终点。</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2.6各样品通道独立密封，独立液路，16个独立的样品管路直接汇入一根主管路，无其他分管路，避免样品爆沸引起的串液问题，具备防交叉污染、防回流设计，避免，样品间因爆沸或回流导致的交叉污染情况。</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2.7可同时放置65ml和260ml浓缩杯，进行大小体积同时浓缩。</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2.8水浴加热温度范围：室温-85℃，水浴加热温度支持梯度设置，可设不少于 8 段程序，双层保温，方便蒸发混合溶剂。</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2.9真空盖板支持加热，加热温度范围：室温-80℃,可防止冷凝回流造成交叉污染。</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2.10冷凝回收模块：可以实现溶剂蒸汽和尾气双重回收。</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2.11水平振荡转速范围：0-300rpm。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2.12压力控制支持梯度设置，可设不少于8段程序。</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2.13水平振荡偏心率可调范围：0</w:t>
      </w:r>
      <w:r>
        <w:rPr>
          <w:rFonts w:hint="default" w:ascii="Times New Roman" w:hAnsi="Times New Roman" w:eastAsia="仿宋_GB2312" w:cs="Times New Roman"/>
          <w:color w:val="auto"/>
          <w:sz w:val="28"/>
          <w:szCs w:val="28"/>
          <w:highlight w:val="none"/>
          <w:lang w:eastAsia="zh-CN"/>
        </w:rPr>
        <w:t>~</w:t>
      </w:r>
      <w:r>
        <w:rPr>
          <w:rFonts w:hint="eastAsia" w:ascii="仿宋_GB2312" w:hAnsi="仿宋_GB2312" w:eastAsia="仿宋_GB2312" w:cs="仿宋_GB2312"/>
          <w:color w:val="auto"/>
          <w:sz w:val="28"/>
          <w:szCs w:val="28"/>
          <w:highlight w:val="none"/>
          <w:lang w:eastAsia="zh-CN"/>
        </w:rPr>
        <w:t>5mm。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2.14控温方式：PID数字控温技术，控温精度±1℃,显示精度：±0.1℃,加热模块不与样品管接触，通过水浴进行温度传递，腔体温度均一。</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2.15整机经过特殊防腐涂层处理，防腐蚀防生锈，经久耐用。</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2.16仪器具备冷凝回收功能，可以实现溶剂蒸汽和尾气双重回收， 回收浓缩过程产生的有机溶剂，绿色环保。</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2.17冷水机控温范围：5℃～室温，LCD数字显示温度，满足尾气回收要求。</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2.18冷水机控温方式：智能PID数字控温技术，显示精度：±0.1℃。</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2.19冷水机冷却方式：压缩机制冷，保证超强的长久工作性能。</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2.20冷水机制冷功率：≥1000W</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2.21冷水机水泵流量：5-15L/min，泵压：0.15Mpa-0.20Mpa。</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2.22冷凝装置衔接5L废液桶，双冷凝塔可实现对废液的二次集中收集。</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2.23无需将废液桶置于通风橱内，节省宝贵的实验室空间。</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eastAsia="zh-CN"/>
        </w:rPr>
        <w:t>3.工作条件</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3.1电源：220V-240V，50Hz-60Hz；</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3.2温度：操作环境10～35 ℃；</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3.3湿度：10%～85%。</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eastAsia="zh-CN"/>
        </w:rPr>
        <w:t>4.配置要求：</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4.1 16位浓缩仪主机1台，包括水浴模块、振荡模块、真空盖板；</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4.2 16位260mL浓缩管架，1套；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4.3 15.6寸高清彩屏控制终端，1套；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4.4 蛇形冷凝回收装置（具备废液快速排放模块），1套；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4.5 防腐蚀隔膜真空泵（含缓冲瓶及瓶口组件），1套；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4.6 冷却循环系统，1套；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4.7 260mL浓缩杯（具备定容终点线 0.5mL 和 1mL 刻度），40个；</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4.8 有机废液收集桶5L，1套；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4.9 专用连接管组件，1套；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4.10 16位260ml浓缩管外置架，2套；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4.11 专用工具包，1包。</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eastAsia="zh-CN"/>
        </w:rPr>
        <w:t>5.售后服务</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5.1设备安装、调试和验收：仪器到达用户所在地，在接到用户通知后的一周内进行安装、调试，直到通过验收；验收以《安装调试验收单》为准；</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5.2保修期：提供1年的免费维保期，保修期自仪器验收签字之日起计算，提供维修服务；</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5.3免费提供售前、售中、售后培训服务，培训内容包括仪器的技术原理、安装调试、仪器操作、维护保养等；</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5.4维修响应：24小时热线服务，全年无节假日；专业工程师在接到通知后2小时内做出回应，24小时到达维修现场，以确保可提供及时的服务，以上信息可现场确认。</w:t>
      </w:r>
    </w:p>
    <w:p>
      <w:pPr>
        <w:spacing w:line="4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5.5供货期限：合同签订后20天。</w:t>
      </w:r>
    </w:p>
    <w:p>
      <w:pPr>
        <w:widowControl w:val="0"/>
        <w:spacing w:line="460" w:lineRule="exact"/>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三、其他须知事项</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异常低价的甄别</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投标（响应）报价出现下列情形之一的，甲方应当启动异常低价投标（响应）审查程序：</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①投标（响应）报价低于全部通过符合性审查供应商投标（响应）报价平均值</w:t>
      </w:r>
      <w:r>
        <w:rPr>
          <w:rFonts w:hint="eastAsia" w:ascii="仿宋_GB2312" w:hAnsi="仿宋_GB2312" w:eastAsia="仿宋_GB2312" w:cs="仿宋_GB2312"/>
          <w:color w:val="auto"/>
          <w:sz w:val="28"/>
          <w:szCs w:val="28"/>
          <w:highlight w:val="none"/>
          <w:lang w:val="en-US" w:eastAsia="zh-CN"/>
        </w:rPr>
        <w:t>50</w:t>
      </w:r>
      <w:r>
        <w:rPr>
          <w:rFonts w:hint="eastAsia" w:ascii="仿宋_GB2312" w:hAnsi="仿宋_GB2312" w:eastAsia="仿宋_GB2312" w:cs="仿宋_GB2312"/>
          <w:color w:val="auto"/>
          <w:sz w:val="28"/>
          <w:szCs w:val="28"/>
          <w:highlight w:val="none"/>
          <w:lang w:eastAsia="zh-CN"/>
        </w:rPr>
        <w:t>%的，即投标（响应）报价&lt;全部通过符合性审查供应商投标（响应）报价平均值×</w:t>
      </w:r>
      <w:r>
        <w:rPr>
          <w:rFonts w:hint="eastAsia" w:ascii="仿宋_GB2312" w:hAnsi="仿宋_GB2312" w:eastAsia="仿宋_GB2312" w:cs="仿宋_GB2312"/>
          <w:color w:val="auto"/>
          <w:sz w:val="28"/>
          <w:szCs w:val="28"/>
          <w:highlight w:val="none"/>
          <w:lang w:val="en-US" w:eastAsia="zh-CN"/>
        </w:rPr>
        <w:t>50</w:t>
      </w:r>
      <w:r>
        <w:rPr>
          <w:rFonts w:hint="eastAsia" w:ascii="仿宋_GB2312" w:hAnsi="仿宋_GB2312" w:eastAsia="仿宋_GB2312" w:cs="仿宋_GB2312"/>
          <w:color w:val="auto"/>
          <w:sz w:val="28"/>
          <w:szCs w:val="28"/>
          <w:highlight w:val="none"/>
          <w:lang w:eastAsia="zh-CN"/>
        </w:rPr>
        <w:t>%；</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②投标（响应）报价低于通过符合性审查的次低报价供应商投标（响应）报价</w:t>
      </w:r>
      <w:r>
        <w:rPr>
          <w:rFonts w:hint="eastAsia" w:ascii="仿宋_GB2312" w:hAnsi="仿宋_GB2312" w:eastAsia="仿宋_GB2312" w:cs="仿宋_GB2312"/>
          <w:color w:val="auto"/>
          <w:sz w:val="28"/>
          <w:szCs w:val="28"/>
          <w:highlight w:val="none"/>
          <w:lang w:val="en-US" w:eastAsia="zh-CN"/>
        </w:rPr>
        <w:t>50</w:t>
      </w:r>
      <w:r>
        <w:rPr>
          <w:rFonts w:hint="eastAsia" w:ascii="仿宋_GB2312" w:hAnsi="仿宋_GB2312" w:eastAsia="仿宋_GB2312" w:cs="仿宋_GB2312"/>
          <w:color w:val="auto"/>
          <w:sz w:val="28"/>
          <w:szCs w:val="28"/>
          <w:highlight w:val="none"/>
          <w:lang w:eastAsia="zh-CN"/>
        </w:rPr>
        <w:t>%的，即投标（响应）报价&lt;通过符合性审查的次低报价供应商投标（响应）报价×</w:t>
      </w:r>
      <w:r>
        <w:rPr>
          <w:rFonts w:hint="eastAsia" w:ascii="仿宋_GB2312" w:hAnsi="仿宋_GB2312" w:eastAsia="仿宋_GB2312" w:cs="仿宋_GB2312"/>
          <w:color w:val="auto"/>
          <w:sz w:val="28"/>
          <w:szCs w:val="28"/>
          <w:highlight w:val="none"/>
          <w:lang w:val="en-US" w:eastAsia="zh-CN"/>
        </w:rPr>
        <w:t>50</w:t>
      </w:r>
      <w:r>
        <w:rPr>
          <w:rFonts w:hint="eastAsia" w:ascii="仿宋_GB2312" w:hAnsi="仿宋_GB2312" w:eastAsia="仿宋_GB2312" w:cs="仿宋_GB2312"/>
          <w:color w:val="auto"/>
          <w:sz w:val="28"/>
          <w:szCs w:val="28"/>
          <w:highlight w:val="none"/>
          <w:lang w:eastAsia="zh-CN"/>
        </w:rPr>
        <w:t>%；</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③投标（响应）报价低于采购项目最高限价45%的，即投标（响应）报价&lt;采购项目最高限价×45%；</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④评审委员会基于专业判断，认为供应商报价过低，有可能影响产品质量或者不能诚信履约的其他情形。</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pPr>
        <w:pStyle w:val="3"/>
        <w:spacing w:before="0" w:after="0" w:line="460" w:lineRule="exact"/>
        <w:ind w:firstLine="562" w:firstLineChars="200"/>
        <w:rPr>
          <w:rFonts w:hint="eastAsia" w:ascii="黑体" w:hAnsi="黑体" w:eastAsia="黑体" w:cs="黑体"/>
          <w:b w:val="0"/>
          <w:bCs w:val="0"/>
          <w:color w:val="auto"/>
          <w:sz w:val="28"/>
          <w:highlight w:val="none"/>
          <w:lang w:eastAsia="zh-CN"/>
        </w:rPr>
      </w:pPr>
      <w:r>
        <w:rPr>
          <w:rFonts w:hint="eastAsia" w:ascii="仿宋_GB2312" w:hAnsi="仿宋_GB2312" w:eastAsia="仿宋_GB2312" w:cs="仿宋_GB2312"/>
          <w:color w:val="auto"/>
          <w:sz w:val="28"/>
          <w:highlight w:val="none"/>
          <w:lang w:eastAsia="zh-CN"/>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widowControl w:val="0"/>
        <w:spacing w:line="460" w:lineRule="exact"/>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四、</w:t>
      </w:r>
      <w:bookmarkEnd w:id="0"/>
      <w:r>
        <w:rPr>
          <w:rFonts w:hint="eastAsia" w:ascii="黑体" w:hAnsi="黑体" w:eastAsia="黑体" w:cs="黑体"/>
          <w:color w:val="auto"/>
          <w:sz w:val="28"/>
          <w:szCs w:val="28"/>
          <w:highlight w:val="none"/>
          <w:lang w:eastAsia="zh-CN"/>
        </w:rPr>
        <w:t>响应技术偏离表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429"/>
        <w:gridCol w:w="1878"/>
        <w:gridCol w:w="1864"/>
        <w:gridCol w:w="1216"/>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序号</w:t>
            </w: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产品名称</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采购需求技术要求</w:t>
            </w: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响应货物实际技术规格</w:t>
            </w: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偏离情况</w:t>
            </w: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1</w:t>
            </w: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按采购需求清单填写</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按采购需求文件中对应技术填写</w:t>
            </w: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按所投产品实际技术指标填写</w:t>
            </w: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正偏离或满足或负偏离</w:t>
            </w: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其他需补充说明情况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r>
    </w:tbl>
    <w:p>
      <w:pPr>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br w:type="page"/>
      </w:r>
    </w:p>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r>
        <w:rPr>
          <w:rFonts w:hint="eastAsia" w:ascii="黑体" w:hAnsi="黑体" w:eastAsia="黑体" w:cs="黑体"/>
          <w:b w:val="0"/>
          <w:bCs w:val="0"/>
          <w:color w:val="auto"/>
          <w:sz w:val="28"/>
          <w:highlight w:val="none"/>
          <w:lang w:eastAsia="zh-CN"/>
        </w:rPr>
        <w:t>评分标准</w:t>
      </w:r>
    </w:p>
    <w:p>
      <w:pPr>
        <w:rPr>
          <w:color w:val="auto"/>
          <w:highlight w:val="none"/>
          <w:lang w:eastAsia="zh-CN"/>
        </w:rPr>
      </w:pP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66"/>
        <w:gridCol w:w="6804"/>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序号</w:t>
            </w:r>
          </w:p>
        </w:tc>
        <w:tc>
          <w:tcPr>
            <w:tcW w:w="520"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评估要素</w:t>
            </w:r>
          </w:p>
        </w:tc>
        <w:tc>
          <w:tcPr>
            <w:tcW w:w="3664"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主要评估内容</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520" w:type="pct"/>
            <w:tcBorders>
              <w:top w:val="single" w:color="auto" w:sz="4" w:space="0"/>
              <w:left w:val="single" w:color="auto" w:sz="4" w:space="0"/>
              <w:bottom w:val="single" w:color="auto" w:sz="4" w:space="0"/>
              <w:right w:val="single" w:color="auto" w:sz="4" w:space="0"/>
            </w:tcBorders>
            <w:vAlign w:val="center"/>
          </w:tcPr>
          <w:p>
            <w:pPr>
              <w:pStyle w:val="18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报价得分</w:t>
            </w:r>
          </w:p>
        </w:tc>
        <w:tc>
          <w:tcPr>
            <w:tcW w:w="3664"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报价得分。报价得分＝价格分值×（基准价/报价）×20%×100</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20</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2</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类似业绩</w:t>
            </w:r>
          </w:p>
        </w:tc>
        <w:tc>
          <w:tcPr>
            <w:tcW w:w="3664"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近三年类似项目业绩（合同或中标通知书原件扫描件，具体时间以合同签订日期或中标通知书落款日期为准，未注明日期或者不清楚则不予计取，不提供则不得分）每个合同得1分，最高得6分。</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6</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3</w:t>
            </w:r>
          </w:p>
        </w:tc>
        <w:tc>
          <w:tcPr>
            <w:tcW w:w="520"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pacing w:line="240" w:lineRule="exact"/>
              <w:ind w:left="103"/>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对项目需求的理解</w:t>
            </w:r>
          </w:p>
        </w:tc>
        <w:tc>
          <w:tcPr>
            <w:tcW w:w="3664" w:type="pct"/>
            <w:tcBorders>
              <w:top w:val="single" w:color="auto" w:sz="4" w:space="0"/>
              <w:left w:val="single" w:color="auto" w:sz="4" w:space="0"/>
              <w:bottom w:val="single" w:color="auto" w:sz="4" w:space="0"/>
              <w:right w:val="single" w:color="auto" w:sz="4" w:space="0"/>
            </w:tcBorders>
            <w:vAlign w:val="center"/>
          </w:tcPr>
          <w:p>
            <w:pPr>
              <w:pStyle w:val="27"/>
              <w:tabs>
                <w:tab w:val="center" w:pos="4153"/>
                <w:tab w:val="right" w:pos="8306"/>
                <w:tab w:val="clear" w:pos="4680"/>
                <w:tab w:val="clear" w:pos="9360"/>
              </w:tabs>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报价方对于采购需求及项目实际情况的理解，对本采购项目需求的理解准确到位，对采购项目的特点、重点、难点有针对性的切实可行的解决方法，措施科学全面，得14-20分；对采购项目需求的理解基本准确，对采购项目的特点、重点、难点的解决办法有一定的针对性，措施基本合理，得7-13分；对采购项目需求不够理解，对需求的特点、重点、难点的解决方法无针对性，措施不具体，错误较多，得 1-6分。</w:t>
            </w:r>
            <w:r>
              <w:rPr>
                <w:rFonts w:hint="eastAsia" w:ascii="仿宋_GB2312" w:hAnsi="仿宋_GB2312" w:eastAsia="仿宋_GB2312" w:cs="仿宋_GB2312"/>
                <w:color w:val="auto"/>
                <w:sz w:val="21"/>
                <w:szCs w:val="21"/>
                <w:highlight w:val="none"/>
              </w:rPr>
              <w:t>未提供相应内容</w:t>
            </w:r>
            <w:r>
              <w:rPr>
                <w:rFonts w:hint="eastAsia" w:ascii="仿宋_GB2312" w:hAnsi="仿宋_GB2312" w:eastAsia="仿宋_GB2312" w:cs="仿宋_GB2312"/>
                <w:color w:val="auto"/>
                <w:sz w:val="21"/>
                <w:szCs w:val="21"/>
                <w:highlight w:val="none"/>
                <w:lang w:eastAsia="zh-CN"/>
              </w:rPr>
              <w:t>得</w:t>
            </w:r>
            <w:r>
              <w:rPr>
                <w:rFonts w:hint="eastAsia" w:ascii="仿宋_GB2312" w:hAnsi="仿宋_GB2312" w:eastAsia="仿宋_GB2312" w:cs="仿宋_GB2312"/>
                <w:color w:val="auto"/>
                <w:sz w:val="21"/>
                <w:szCs w:val="21"/>
                <w:highlight w:val="none"/>
                <w:lang w:val="en-US" w:eastAsia="zh-CN"/>
              </w:rPr>
              <w:t>0分</w:t>
            </w:r>
            <w:r>
              <w:rPr>
                <w:rFonts w:hint="eastAsia" w:ascii="仿宋_GB2312" w:hAnsi="仿宋_GB2312" w:eastAsia="仿宋_GB2312" w:cs="仿宋_GB2312"/>
                <w:color w:val="auto"/>
                <w:sz w:val="21"/>
                <w:szCs w:val="21"/>
                <w:highlight w:val="none"/>
              </w:rPr>
              <w:t>。</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20</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7"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4</w:t>
            </w:r>
          </w:p>
        </w:tc>
        <w:tc>
          <w:tcPr>
            <w:tcW w:w="520"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设备的参数</w:t>
            </w:r>
          </w:p>
        </w:tc>
        <w:tc>
          <w:tcPr>
            <w:tcW w:w="3664"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所提供的产品功能及特点、产品性能、产品资料与需求的吻合程度和偏差情况，是否能够满足采购需求要求，产品资料是否详细完整等进行综合评审。产品资料详细完整，产品性能完全满足采购需求，投标产品功能和特点的描述清晰准确，综合性能出色（先进性、兼容性、可扩展性等），得</w:t>
            </w:r>
            <w:r>
              <w:rPr>
                <w:rFonts w:hint="eastAsia" w:ascii="仿宋_GB2312" w:hAnsi="仿宋_GB2312" w:eastAsia="仿宋_GB2312" w:cs="仿宋_GB2312"/>
                <w:color w:val="auto"/>
                <w:sz w:val="21"/>
                <w:szCs w:val="21"/>
                <w:highlight w:val="none"/>
                <w:lang w:val="en-US" w:eastAsia="zh-CN"/>
              </w:rPr>
              <w:t>23-30</w:t>
            </w:r>
            <w:r>
              <w:rPr>
                <w:rFonts w:hint="eastAsia" w:ascii="仿宋_GB2312" w:hAnsi="仿宋_GB2312" w:eastAsia="仿宋_GB2312" w:cs="仿宋_GB2312"/>
                <w:color w:val="auto"/>
                <w:sz w:val="21"/>
                <w:szCs w:val="21"/>
                <w:highlight w:val="none"/>
                <w:lang w:eastAsia="zh-CN"/>
              </w:rPr>
              <w:t>分；产品资料不能完全体现产品特点，功能描述不完整，少量性能指标不满足采购需求，但不影响主要功能的，得</w:t>
            </w:r>
            <w:r>
              <w:rPr>
                <w:rFonts w:hint="eastAsia" w:ascii="仿宋_GB2312" w:hAnsi="仿宋_GB2312" w:eastAsia="仿宋_GB2312" w:cs="仿宋_GB2312"/>
                <w:color w:val="auto"/>
                <w:sz w:val="21"/>
                <w:szCs w:val="21"/>
                <w:highlight w:val="none"/>
                <w:lang w:val="en-US" w:eastAsia="zh-CN"/>
              </w:rPr>
              <w:t>15-22</w:t>
            </w:r>
            <w:r>
              <w:rPr>
                <w:rFonts w:hint="eastAsia" w:ascii="仿宋_GB2312" w:hAnsi="仿宋_GB2312" w:eastAsia="仿宋_GB2312" w:cs="仿宋_GB2312"/>
                <w:color w:val="auto"/>
                <w:sz w:val="21"/>
                <w:szCs w:val="21"/>
                <w:highlight w:val="none"/>
                <w:lang w:eastAsia="zh-CN"/>
              </w:rPr>
              <w:t>分；产品资料内容缺漏，所选用产品有多处性能指标低于采购需求，并影响到主要功能的，得</w:t>
            </w:r>
            <w:r>
              <w:rPr>
                <w:rFonts w:hint="eastAsia" w:ascii="仿宋_GB2312" w:hAnsi="仿宋_GB2312" w:eastAsia="仿宋_GB2312" w:cs="仿宋_GB2312"/>
                <w:color w:val="auto"/>
                <w:sz w:val="21"/>
                <w:szCs w:val="21"/>
                <w:highlight w:val="none"/>
                <w:lang w:val="en-US" w:eastAsia="zh-CN"/>
              </w:rPr>
              <w:t>8-14</w:t>
            </w:r>
            <w:r>
              <w:rPr>
                <w:rFonts w:hint="eastAsia" w:ascii="仿宋_GB2312" w:hAnsi="仿宋_GB2312" w:eastAsia="仿宋_GB2312" w:cs="仿宋_GB2312"/>
                <w:color w:val="auto"/>
                <w:sz w:val="21"/>
                <w:szCs w:val="21"/>
                <w:highlight w:val="none"/>
                <w:lang w:eastAsia="zh-CN"/>
              </w:rPr>
              <w:t>分；产品资料内容有很多缺漏，所选用产品大量性能指标不满足采购需求，并严重影响到主要功能的，得</w:t>
            </w:r>
            <w:r>
              <w:rPr>
                <w:rFonts w:hint="eastAsia" w:ascii="仿宋_GB2312" w:hAnsi="仿宋_GB2312" w:eastAsia="仿宋_GB2312" w:cs="仿宋_GB2312"/>
                <w:color w:val="auto"/>
                <w:sz w:val="21"/>
                <w:szCs w:val="21"/>
                <w:highlight w:val="none"/>
                <w:lang w:val="en-US" w:eastAsia="zh-CN"/>
              </w:rPr>
              <w:t>1-7分</w:t>
            </w:r>
            <w:r>
              <w:rPr>
                <w:rFonts w:hint="eastAsia" w:ascii="仿宋_GB2312" w:hAnsi="仿宋_GB2312" w:eastAsia="仿宋_GB2312" w:cs="仿宋_GB2312"/>
                <w:color w:val="auto"/>
                <w:sz w:val="21"/>
                <w:szCs w:val="21"/>
                <w:highlight w:val="none"/>
                <w:lang w:eastAsia="zh-CN"/>
              </w:rPr>
              <w:t>。</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lang w:eastAsia="zh-CN"/>
              </w:rPr>
              <w:t>0</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5</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售后服</w:t>
            </w:r>
          </w:p>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务</w:t>
            </w:r>
          </w:p>
        </w:tc>
        <w:tc>
          <w:tcPr>
            <w:tcW w:w="3664"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根据所提供的产品详细配备清单清晰，固定售后服务情况、产品保修响应时间、到场时间及时，配套服务方案完善的得</w:t>
            </w:r>
            <w:r>
              <w:rPr>
                <w:rFonts w:hint="eastAsia" w:ascii="仿宋_GB2312" w:hAnsi="仿宋_GB2312" w:eastAsia="仿宋_GB2312" w:cs="仿宋_GB2312"/>
                <w:color w:val="auto"/>
                <w:sz w:val="21"/>
                <w:szCs w:val="21"/>
                <w:highlight w:val="none"/>
                <w:lang w:val="en-US" w:eastAsia="zh-CN"/>
              </w:rPr>
              <w:t>6-8分；</w:t>
            </w:r>
            <w:r>
              <w:rPr>
                <w:rFonts w:hint="eastAsia" w:ascii="仿宋_GB2312" w:hAnsi="仿宋_GB2312" w:eastAsia="仿宋_GB2312" w:cs="仿宋_GB2312"/>
                <w:color w:val="auto"/>
                <w:sz w:val="21"/>
                <w:szCs w:val="21"/>
                <w:highlight w:val="none"/>
                <w:lang w:eastAsia="zh-CN"/>
              </w:rPr>
              <w:t>产品详细配备清单不全、固定售后服务情况、产品保修响应时间、到场时间欠缺，配套服务方案的情况不完善的得</w:t>
            </w:r>
            <w:r>
              <w:rPr>
                <w:rFonts w:hint="eastAsia" w:ascii="仿宋_GB2312" w:hAnsi="仿宋_GB2312" w:eastAsia="仿宋_GB2312" w:cs="仿宋_GB2312"/>
                <w:color w:val="auto"/>
                <w:sz w:val="21"/>
                <w:szCs w:val="21"/>
                <w:highlight w:val="none"/>
                <w:lang w:val="en-US" w:eastAsia="zh-CN"/>
              </w:rPr>
              <w:t>3-5分；</w:t>
            </w:r>
            <w:r>
              <w:rPr>
                <w:rFonts w:hint="eastAsia" w:ascii="仿宋_GB2312" w:hAnsi="仿宋_GB2312" w:eastAsia="仿宋_GB2312" w:cs="仿宋_GB2312"/>
                <w:color w:val="auto"/>
                <w:sz w:val="21"/>
                <w:szCs w:val="21"/>
                <w:highlight w:val="none"/>
                <w:lang w:eastAsia="zh-CN"/>
              </w:rPr>
              <w:t>产品详细配备清单缺失、固定售后服务情况、产品保修响应时间、到场时间无法保障，配套服务方案欠缺的得</w:t>
            </w:r>
            <w:r>
              <w:rPr>
                <w:rFonts w:hint="eastAsia" w:ascii="仿宋_GB2312" w:hAnsi="仿宋_GB2312" w:eastAsia="仿宋_GB2312" w:cs="仿宋_GB2312"/>
                <w:color w:val="auto"/>
                <w:sz w:val="21"/>
                <w:szCs w:val="21"/>
                <w:highlight w:val="none"/>
                <w:lang w:val="en-US" w:eastAsia="zh-CN"/>
              </w:rPr>
              <w:t>1-2分；无相关配置清单、售后相应、配套服务的得0分。</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质保期满后维保服务方案</w:t>
            </w:r>
          </w:p>
        </w:tc>
        <w:tc>
          <w:tcPr>
            <w:tcW w:w="3664"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保期内对设备提供的质量保证、软件功能更新、硬件设备故障更换（非人为原因）、备品备件报价情况、设备运行维护培训等：各项服务内容完善、具体运维服务实施方案与措施强尽，报价文件编制完整性很合理的得</w:t>
            </w:r>
            <w:r>
              <w:rPr>
                <w:rFonts w:hint="eastAsia" w:ascii="仿宋_GB2312" w:hAnsi="仿宋_GB2312" w:eastAsia="仿宋_GB2312" w:cs="仿宋_GB2312"/>
                <w:color w:val="auto"/>
                <w:sz w:val="21"/>
                <w:szCs w:val="21"/>
                <w:highlight w:val="none"/>
                <w:lang w:val="en-US" w:eastAsia="zh-CN"/>
              </w:rPr>
              <w:t>6-8</w:t>
            </w:r>
            <w:r>
              <w:rPr>
                <w:rFonts w:hint="eastAsia" w:ascii="仿宋_GB2312" w:hAnsi="仿宋_GB2312" w:eastAsia="仿宋_GB2312" w:cs="仿宋_GB2312"/>
                <w:color w:val="auto"/>
                <w:sz w:val="21"/>
                <w:szCs w:val="21"/>
                <w:highlight w:val="none"/>
                <w:lang w:eastAsia="zh-CN"/>
              </w:rPr>
              <w:t>分；各项服务内容一般、具体运维服务实施方案与措施有描述，但有所欠缺，报价文件编制完整性基本符合的得</w:t>
            </w:r>
            <w:r>
              <w:rPr>
                <w:rFonts w:hint="eastAsia" w:ascii="仿宋_GB2312" w:hAnsi="仿宋_GB2312" w:eastAsia="仿宋_GB2312" w:cs="仿宋_GB2312"/>
                <w:color w:val="auto"/>
                <w:sz w:val="21"/>
                <w:szCs w:val="21"/>
                <w:highlight w:val="none"/>
                <w:lang w:val="en-US" w:eastAsia="zh-CN"/>
              </w:rPr>
              <w:t>3-5</w:t>
            </w:r>
            <w:r>
              <w:rPr>
                <w:rFonts w:hint="eastAsia" w:ascii="仿宋_GB2312" w:hAnsi="仿宋_GB2312" w:eastAsia="仿宋_GB2312" w:cs="仿宋_GB2312"/>
                <w:color w:val="auto"/>
                <w:sz w:val="21"/>
                <w:szCs w:val="21"/>
                <w:highlight w:val="none"/>
                <w:lang w:eastAsia="zh-CN"/>
              </w:rPr>
              <w:t>分；各项服务内容缺失、具体运维服务实施方案与措施不完备较多，报价文件编制没有准对本项目要求的得1-</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lang w:eastAsia="zh-CN"/>
              </w:rPr>
              <w:t xml:space="preserve"> 分；无方案 得0分。</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7</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安装调试验收及培训</w:t>
            </w:r>
          </w:p>
        </w:tc>
        <w:tc>
          <w:tcPr>
            <w:tcW w:w="3664"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产品的现场搬运方案、提供产品安装和维修所需的专用工具和辅助材料安装的情况，调试方法、程序及关键点，产品验收方案的合理性和完整性，对提供操作及维修人员培训及其培训次数、提供免费技术咨询服务。到货、验收方案详尽，培训方案，技术咨询充分得</w:t>
            </w:r>
            <w:r>
              <w:rPr>
                <w:rFonts w:hint="eastAsia" w:ascii="仿宋_GB2312" w:hAnsi="仿宋_GB2312" w:eastAsia="仿宋_GB2312" w:cs="仿宋_GB2312"/>
                <w:color w:val="auto"/>
                <w:sz w:val="21"/>
                <w:szCs w:val="21"/>
                <w:highlight w:val="none"/>
                <w:lang w:val="en-US" w:eastAsia="zh-CN"/>
              </w:rPr>
              <w:t>6-8</w:t>
            </w:r>
            <w:r>
              <w:rPr>
                <w:rFonts w:hint="eastAsia" w:ascii="仿宋_GB2312" w:hAnsi="仿宋_GB2312" w:eastAsia="仿宋_GB2312" w:cs="仿宋_GB2312"/>
                <w:color w:val="auto"/>
                <w:sz w:val="21"/>
                <w:szCs w:val="21"/>
                <w:highlight w:val="none"/>
                <w:lang w:eastAsia="zh-CN"/>
              </w:rPr>
              <w:t>分；到货、验收方案，培训方案，技术咨询一般得</w:t>
            </w:r>
            <w:r>
              <w:rPr>
                <w:rFonts w:hint="eastAsia" w:ascii="仿宋_GB2312" w:hAnsi="仿宋_GB2312" w:eastAsia="仿宋_GB2312" w:cs="仿宋_GB2312"/>
                <w:color w:val="auto"/>
                <w:sz w:val="21"/>
                <w:szCs w:val="21"/>
                <w:highlight w:val="none"/>
                <w:lang w:val="en-US" w:eastAsia="zh-CN"/>
              </w:rPr>
              <w:t>3-5</w:t>
            </w:r>
            <w:r>
              <w:rPr>
                <w:rFonts w:hint="eastAsia" w:ascii="仿宋_GB2312" w:hAnsi="仿宋_GB2312" w:eastAsia="仿宋_GB2312" w:cs="仿宋_GB2312"/>
                <w:color w:val="auto"/>
                <w:sz w:val="21"/>
                <w:szCs w:val="21"/>
                <w:highlight w:val="none"/>
                <w:lang w:eastAsia="zh-CN"/>
              </w:rPr>
              <w:t>分；到货、验收方案，培训方案，技术咨询欠缺、简单得</w:t>
            </w: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lang w:eastAsia="zh-CN"/>
              </w:rPr>
              <w:t>分。未提供得</w:t>
            </w:r>
            <w:r>
              <w:rPr>
                <w:rFonts w:hint="eastAsia" w:ascii="仿宋_GB2312" w:hAnsi="仿宋_GB2312" w:eastAsia="仿宋_GB2312" w:cs="仿宋_GB2312"/>
                <w:color w:val="auto"/>
                <w:sz w:val="21"/>
                <w:szCs w:val="21"/>
                <w:highlight w:val="none"/>
                <w:lang w:val="en-US" w:eastAsia="zh-CN"/>
              </w:rPr>
              <w:t>0分</w:t>
            </w:r>
          </w:p>
        </w:tc>
        <w:tc>
          <w:tcPr>
            <w:tcW w:w="395"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分</w:t>
            </w:r>
          </w:p>
        </w:tc>
      </w:tr>
    </w:tbl>
    <w:p>
      <w:pPr>
        <w:pStyle w:val="33"/>
        <w:rPr>
          <w:rFonts w:hint="eastAsia" w:ascii="仿宋" w:hAnsi="仿宋" w:eastAsia="仿宋" w:cs="仿宋"/>
          <w:b/>
          <w:color w:val="auto"/>
          <w:spacing w:val="-8"/>
          <w:highlight w:val="none"/>
          <w:lang w:val="zh-CN"/>
        </w:rPr>
      </w:pPr>
    </w:p>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p>
    <w:p>
      <w:pPr>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br w:type="page"/>
      </w:r>
    </w:p>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r>
        <w:rPr>
          <w:rFonts w:hint="eastAsia" w:ascii="黑体" w:hAnsi="黑体" w:eastAsia="黑体" w:cs="黑体"/>
          <w:b w:val="0"/>
          <w:bCs w:val="0"/>
          <w:color w:val="auto"/>
          <w:sz w:val="28"/>
          <w:highlight w:val="none"/>
          <w:lang w:eastAsia="zh-CN"/>
        </w:rPr>
        <w:t>五、合同主要服务条款</w:t>
      </w:r>
    </w:p>
    <w:p>
      <w:pPr>
        <w:shd w:val="clear" w:color="auto" w:fill="FFFFFF"/>
        <w:spacing w:before="100" w:beforeAutospacing="1" w:after="100" w:afterAutospacing="1"/>
        <w:jc w:val="center"/>
        <w:rPr>
          <w:rFonts w:hint="eastAsia" w:ascii="仿宋" w:hAnsi="仿宋" w:eastAsia="仿宋" w:cs="仿宋"/>
          <w:b/>
          <w:bCs/>
          <w:color w:val="auto"/>
          <w:kern w:val="36"/>
          <w:highlight w:val="none"/>
          <w:lang w:eastAsia="zh-CN"/>
        </w:rPr>
      </w:pPr>
      <w:r>
        <w:rPr>
          <w:rFonts w:hint="eastAsia" w:ascii="宋体" w:hAnsi="宋体"/>
          <w:b/>
          <w:bCs/>
          <w:color w:val="auto"/>
          <w:szCs w:val="21"/>
          <w:highlight w:val="none"/>
          <w:lang w:eastAsia="zh-CN"/>
        </w:rPr>
        <w:t>真空平行浓缩仪采购合同</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甲方（买方）：上市松江区环境监测站</w:t>
      </w:r>
    </w:p>
    <w:p>
      <w:pPr>
        <w:shd w:val="clear" w:color="auto" w:fill="FFFFFF"/>
        <w:ind w:firstLine="482"/>
        <w:rPr>
          <w:color w:val="auto"/>
          <w:highlight w:val="none"/>
          <w:lang w:eastAsia="zh-CN"/>
        </w:rPr>
      </w:pPr>
      <w:r>
        <w:rPr>
          <w:rFonts w:hint="eastAsia" w:ascii="宋体" w:hAnsi="宋体"/>
          <w:b/>
          <w:color w:val="auto"/>
          <w:szCs w:val="21"/>
          <w:highlight w:val="none"/>
          <w:lang w:eastAsia="zh-CN"/>
        </w:rPr>
        <w:t>地址：上海市松江区中辰路288号</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电话：</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联系人：</w:t>
      </w:r>
    </w:p>
    <w:p>
      <w:pPr>
        <w:shd w:val="clear" w:color="auto" w:fill="FFFFFF"/>
        <w:ind w:firstLine="482"/>
        <w:rPr>
          <w:rFonts w:hint="eastAsia" w:ascii="宋体" w:hAnsi="宋体" w:cs="Calibri"/>
          <w:color w:val="auto"/>
          <w:szCs w:val="21"/>
          <w:highlight w:val="none"/>
          <w:lang w:eastAsia="zh-CN"/>
        </w:rPr>
      </w:pP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乙方（卖方）：</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地址：</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电话：</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联系人：</w:t>
      </w:r>
    </w:p>
    <w:p>
      <w:pPr>
        <w:pStyle w:val="27"/>
        <w:tabs>
          <w:tab w:val="center" w:pos="4153"/>
          <w:tab w:val="right" w:pos="8306"/>
          <w:tab w:val="clear" w:pos="4680"/>
          <w:tab w:val="clear" w:pos="9360"/>
        </w:tabs>
        <w:rPr>
          <w:color w:val="auto"/>
          <w:highlight w:val="none"/>
          <w:lang w:eastAsia="zh-CN"/>
        </w:rPr>
      </w:pPr>
    </w:p>
    <w:p>
      <w:pPr>
        <w:spacing w:line="360" w:lineRule="exact"/>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根据《中华人民共和国政府采购法》、《中华人民共和国合同法》之规定，本合同当事人在平等、自愿的基础上，经协商一致，同意按下述条款和条件签署本合同：</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1.乙方根据本合同的规定向甲方提供以下设备：</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1.1乙方所提供的</w:t>
      </w:r>
      <w:r>
        <w:rPr>
          <w:rFonts w:hint="eastAsia" w:ascii="仿宋" w:hAnsi="仿宋" w:eastAsia="仿宋" w:cs="仿宋"/>
          <w:color w:val="auto"/>
          <w:highlight w:val="none"/>
          <w:u w:val="single"/>
          <w:lang w:eastAsia="zh-CN"/>
        </w:rPr>
        <w:t xml:space="preserve"> 真空平行浓缩仪  </w:t>
      </w:r>
      <w:r>
        <w:rPr>
          <w:rFonts w:hint="eastAsia" w:ascii="仿宋" w:hAnsi="仿宋" w:eastAsia="仿宋" w:cs="仿宋"/>
          <w:color w:val="auto"/>
          <w:highlight w:val="none"/>
          <w:lang w:eastAsia="zh-CN"/>
        </w:rPr>
        <w:t>其来源应符合国家的有关规定，服务的内容、要求、服务质量等详见招标文件和投标文件。</w:t>
      </w:r>
    </w:p>
    <w:p>
      <w:pPr>
        <w:spacing w:line="360" w:lineRule="exact"/>
        <w:jc w:val="left"/>
        <w:rPr>
          <w:rFonts w:hint="eastAsia" w:ascii="仿宋" w:hAnsi="仿宋" w:eastAsia="仿宋" w:cs="仿宋"/>
          <w:color w:val="auto"/>
          <w:highlight w:val="none"/>
          <w:u w:val="single"/>
          <w:lang w:eastAsia="zh-CN"/>
        </w:rPr>
      </w:pPr>
      <w:r>
        <w:rPr>
          <w:rFonts w:hint="eastAsia" w:ascii="仿宋" w:hAnsi="仿宋" w:eastAsia="仿宋" w:cs="仿宋"/>
          <w:b/>
          <w:bCs/>
          <w:color w:val="auto"/>
          <w:highlight w:val="none"/>
          <w:lang w:eastAsia="zh-CN"/>
        </w:rPr>
        <w:t>2. 合同价格、服务地点和服务期限</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2.1合同价格</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本合同价格为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元整。</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乙方为履行本合同而发生的所有费用均应包含在合同价中，甲方不再另行支付其它任何费用。</w:t>
      </w:r>
      <w:r>
        <w:rPr>
          <w:rFonts w:hint="eastAsia" w:ascii="仿宋" w:hAnsi="仿宋" w:eastAsia="仿宋" w:cs="仿宋"/>
          <w:color w:val="auto"/>
          <w:highlight w:val="none"/>
          <w:u w:val="single"/>
          <w:lang w:eastAsia="zh-CN"/>
        </w:rPr>
        <w:t xml:space="preserve">           </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3．质量标准和要求</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3.1乙方所提供的设备质量标准按照国家标准、行业标准或制造厂家企业标准确定，上述标准不一致的，以严格的标准为准。没有国家标准、行业标准和企业标准的，按照通常标准或者符合合同目的的特定标准确定。</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3.2设备质保期一年，验收通过之日起算。</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4</w:t>
      </w:r>
      <w:r>
        <w:rPr>
          <w:rFonts w:hint="eastAsia" w:ascii="仿宋" w:hAnsi="仿宋" w:eastAsia="仿宋" w:cs="仿宋"/>
          <w:b/>
          <w:bCs/>
          <w:color w:val="auto"/>
          <w:highlight w:val="none"/>
          <w:lang w:eastAsia="zh-CN"/>
        </w:rPr>
        <w:t>．验收</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4.1服务根据合同的规定完成后，甲方应及时进行根据合同的规定进行验收。</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4.2如果属于乙方原因致使货物未能通过验收，乙方应当排除故障，并自行承担相关费用，同时进行试运行，直至货物完全符合验收标准。</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4.3如果属于甲方原因致使货物未能通过验收，甲方应在合理时间内排除故障，再次进行验收。如果属于故障之外的原因，除本合同规定的不可抗力外，甲方不愿或未能在规定的时间内完成验收，则由乙方单方面进行验收，并将验收报告提交甲方，即视为验收通过。</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4.4甲方根据合同的规定对货物验收合格后，甲方收取发票并签署验收意见。</w:t>
      </w:r>
    </w:p>
    <w:p>
      <w:pPr>
        <w:spacing w:line="360" w:lineRule="exact"/>
        <w:jc w:val="left"/>
        <w:rPr>
          <w:rFonts w:hint="eastAsia" w:ascii="仿宋" w:hAnsi="仿宋" w:eastAsia="仿宋" w:cs="仿宋"/>
          <w:color w:val="auto"/>
          <w:highlight w:val="none"/>
          <w:u w:val="single"/>
          <w:lang w:eastAsia="zh-CN"/>
        </w:rPr>
      </w:pPr>
      <w:r>
        <w:rPr>
          <w:rFonts w:hint="eastAsia" w:ascii="仿宋" w:hAnsi="仿宋" w:eastAsia="仿宋" w:cs="仿宋"/>
          <w:b/>
          <w:bCs/>
          <w:color w:val="auto"/>
          <w:highlight w:val="none"/>
          <w:lang w:eastAsia="zh-CN"/>
        </w:rPr>
        <w:t>5．付款</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5.1本合同以人民币付款（单位：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5.2本合同款项按照以下方式支付。</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5.2.1付款内容：</w:t>
      </w:r>
      <w:r>
        <w:rPr>
          <w:rFonts w:hint="eastAsia" w:ascii="仿宋" w:hAnsi="仿宋" w:eastAsia="仿宋" w:cs="仿宋"/>
          <w:color w:val="auto"/>
          <w:highlight w:val="none"/>
          <w:u w:val="single"/>
          <w:lang w:eastAsia="zh-CN"/>
        </w:rPr>
        <w:t>货到通过验收后一次性付清全款</w:t>
      </w:r>
    </w:p>
    <w:p>
      <w:pPr>
        <w:spacing w:line="360" w:lineRule="exact"/>
        <w:jc w:val="lef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6.保密义务</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乙方在向甲方提供服务过程中，对其获知的各类资料和信息，包括但不限于涉及国家秘密、商业秘密、个人隐私和其他不宜公开的技术资料、数据信息等资料和信息，承担保密义务，未经甲方书面同意，乙方不得以任何方式提供或披露给第三方。如乙方提供服务过程中涉及上述资料信息使用的，乙方应当按照甲方规定的使用用途和方式，正当、合理、审慎地使用涉及保密义务的资料和信息。</w:t>
      </w:r>
    </w:p>
    <w:p>
      <w:pPr>
        <w:spacing w:line="360" w:lineRule="exact"/>
        <w:jc w:val="lef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7.违约金或者损失赔偿额的计算方法</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违反本合同约定，违约方应当按照《中华人民共和国民法典》合同编的有关条款规定，承担违约责任。</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一）合同生效后，甲方不得无故终止合同履行。若甲方执意终止合同，应按乙方已开展的实际工作量支付乙方费用。若该费用低于本合同总额20%，按合同报酬总额20%计。实际工作量乙方给出书面说明和相关依据。</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（二）合同生效后，乙方不得无故中途解除合同；若乙方执意解除合同，应全额退还甲方支付的费用。若该费用低于本合同总额20%，按合同报酬总额20%计。</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（三）其它：</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甲、乙双方应认真履行合同，由于某一方的故意或过失使合同不能履行或造成其它后果的，由违约方承担相应责任；如在项目实施过程中，乙方违约情节严重，甲方有权终止合同，由此造成甲方的经济损失由乙方承担。如属双方过失，则根据各自过失的大小，分别承担相应的责任。</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由于不可抗力造成合同不能履行时，遭受不可抗力影响的一方应采取积极的措施，并向另一方书面说明，就此情况下造成的合同延期履行、中止或提前终止，甲、乙双方均不承担责任。如造成任何一方损失的，则由损失方自理。</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为贯彻落实廉政要求，维护采购结果的公正性，保证合同顺利履行，乙方在本项目中需按照《廉洁履约承诺书》相关要求严格约束自身行为，遵守廉洁承诺为本合同履行不可分割的一部分。若乙方违背上述条款，甲方有权视情节轻重，扣除相应合同款项或者单方解除合同并要求乙方对合同解除给甲方造成的损失进行赔偿。</w:t>
      </w:r>
    </w:p>
    <w:p>
      <w:pPr>
        <w:numPr>
          <w:ilvl w:val="255"/>
          <w:numId w:val="0"/>
        </w:numPr>
        <w:spacing w:before="100" w:after="100" w:line="360" w:lineRule="exac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8.解决合同纠纷的方式</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在履行本合同过程中发生争议，当事人双方可以协商，通过和解或者调解解决。当事人不愿协商、和解、调解或者和解、调解不成，采用以下第（二）种方式解决。</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双方同意由   /   仲裁委员会仲裁。</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（二）向人民法院起诉，约定  ②  人民法院管辖。</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①被告住所地   ②合同履行地   ③合同签订地</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④原告住所地   ⑤标的物所在地</w:t>
      </w:r>
    </w:p>
    <w:p>
      <w:pPr>
        <w:numPr>
          <w:ilvl w:val="255"/>
          <w:numId w:val="0"/>
        </w:numPr>
        <w:spacing w:before="100" w:after="100" w:line="360" w:lineRule="exac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9.其它条款</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1.本合同全部附件为合同的组成部分，经过招投标的项目，招投标文件视为合同的一部分，并与合同一起阅读和解释。</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2项目款应实行专款专用，并符合财政相关管理规定。</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3.本合同经合同各方盖章后生效。本合同有未尽事宜或合同生效后，合同履行的基础条件发生重大变更的，可由双方协商并通过签订补充合同的方式对相关内容予以变更确认。</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4.本合同一式  四  份，并且从合同签订日期起生效。</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上述条款未尽事宜，双方协商解决。</w:t>
      </w:r>
    </w:p>
    <w:p>
      <w:pPr>
        <w:jc w:val="left"/>
        <w:rPr>
          <w:rFonts w:hint="eastAsia" w:ascii="仿宋" w:hAnsi="仿宋" w:eastAsia="仿宋" w:cs="仿宋"/>
          <w:color w:val="auto"/>
          <w:highlight w:val="none"/>
          <w:lang w:eastAsia="zh-CN"/>
        </w:rPr>
      </w:pPr>
    </w:p>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签约各方：</w:t>
      </w:r>
    </w:p>
    <w:tbl>
      <w:tblPr>
        <w:tblStyle w:val="40"/>
        <w:tblW w:w="0" w:type="auto"/>
        <w:tblCellSpacing w:w="7" w:type="dxa"/>
        <w:tblInd w:w="0" w:type="dxa"/>
        <w:tblLayout w:type="fixed"/>
        <w:tblCellMar>
          <w:top w:w="15" w:type="dxa"/>
          <w:left w:w="15" w:type="dxa"/>
          <w:bottom w:w="15" w:type="dxa"/>
          <w:right w:w="15" w:type="dxa"/>
        </w:tblCellMar>
      </w:tblPr>
      <w:tblGrid>
        <w:gridCol w:w="4549"/>
        <w:gridCol w:w="4501"/>
      </w:tblGrid>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甲方（盖章）：</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 xml:space="preserve">乙方（盖章）： </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法定代表人或授权委托人（签章）：</w:t>
            </w:r>
          </w:p>
          <w:p>
            <w:pPr>
              <w:ind w:firstLine="480"/>
              <w:jc w:val="left"/>
              <w:rPr>
                <w:rFonts w:hint="eastAsia" w:ascii="仿宋" w:hAnsi="仿宋" w:eastAsia="仿宋" w:cs="仿宋"/>
                <w:color w:val="auto"/>
                <w:highlight w:val="none"/>
                <w:lang w:eastAsia="zh-CN"/>
              </w:rPr>
            </w:pPr>
          </w:p>
        </w:tc>
        <w:tc>
          <w:tcPr>
            <w:tcW w:w="4480"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法定代表人或授权委托人（签章）：</w:t>
            </w:r>
          </w:p>
          <w:p>
            <w:pPr>
              <w:ind w:firstLine="480"/>
              <w:jc w:val="left"/>
              <w:rPr>
                <w:rFonts w:hint="eastAsia" w:ascii="仿宋" w:hAnsi="仿宋" w:eastAsia="仿宋" w:cs="仿宋"/>
                <w:color w:val="auto"/>
                <w:highlight w:val="none"/>
                <w:lang w:eastAsia="zh-CN"/>
              </w:rPr>
            </w:pP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rPr>
              <w:t>合同签订地点：</w:t>
            </w:r>
            <w:r>
              <w:rPr>
                <w:rFonts w:hint="eastAsia" w:ascii="仿宋" w:hAnsi="仿宋" w:eastAsia="仿宋" w:cs="仿宋"/>
                <w:color w:val="auto"/>
                <w:highlight w:val="none"/>
                <w:lang w:eastAsia="zh-CN"/>
              </w:rPr>
              <w:t>上海松江</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合同签订地点：</w:t>
            </w:r>
            <w:r>
              <w:rPr>
                <w:rFonts w:hint="eastAsia" w:ascii="仿宋" w:hAnsi="仿宋" w:eastAsia="仿宋" w:cs="仿宋"/>
                <w:color w:val="auto"/>
                <w:highlight w:val="none"/>
                <w:lang w:eastAsia="zh-CN"/>
              </w:rPr>
              <w:t>上海松江</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日期：</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日期：</w:t>
            </w:r>
          </w:p>
        </w:tc>
      </w:tr>
    </w:tbl>
    <w:p>
      <w:pPr>
        <w:tabs>
          <w:tab w:val="left" w:pos="1440"/>
        </w:tabs>
        <w:snapToGrid w:val="0"/>
        <w:ind w:firstLine="480" w:firstLineChars="200"/>
        <w:rPr>
          <w:rFonts w:hint="eastAsia" w:ascii="仿宋" w:hAnsi="仿宋" w:eastAsia="仿宋" w:cs="仿宋"/>
          <w:color w:val="auto"/>
          <w:highlight w:val="none"/>
        </w:rPr>
      </w:pPr>
    </w:p>
    <w:p>
      <w:pPr>
        <w:spacing w:line="460" w:lineRule="exact"/>
        <w:ind w:firstLine="560" w:firstLineChars="200"/>
        <w:rPr>
          <w:rFonts w:hint="eastAsia" w:ascii="仿宋_GB2312" w:hAnsi="仿宋_GB2312" w:eastAsia="仿宋_GB2312" w:cs="仿宋_GB2312"/>
          <w:color w:val="auto"/>
          <w:sz w:val="28"/>
          <w:szCs w:val="28"/>
          <w:highlight w:val="none"/>
          <w:shd w:val="clear" w:color="auto" w:fill="FFFFFF"/>
          <w:lang w:eastAsia="zh-CN"/>
        </w:rPr>
      </w:pPr>
    </w:p>
    <w:p>
      <w:pPr>
        <w:pStyle w:val="4"/>
        <w:rPr>
          <w:color w:val="auto"/>
          <w:highlight w:val="none"/>
          <w:lang w:eastAsia="zh-CN"/>
        </w:rPr>
      </w:pPr>
    </w:p>
    <w:bookmarkEnd w:id="1"/>
    <w:sectPr>
      <w:pgSz w:w="11906" w:h="16838"/>
      <w:pgMar w:top="1417" w:right="1417" w:bottom="1417" w:left="1417" w:header="720" w:footer="720" w:gutter="0"/>
      <w:pgNumType w:start="1"/>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ＭＳ ゴシック">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ourier">
    <w:altName w:val="Liberation Mono"/>
    <w:panose1 w:val="020704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ＭＳ 明朝">
    <w:altName w:val="仿宋_GB2312"/>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7803DA4"/>
    <w:multiLevelType w:val="multilevel"/>
    <w:tmpl w:val="17803DA4"/>
    <w:lvl w:ilvl="0" w:tentative="0">
      <w:start w:val="1"/>
      <w:numFmt w:val="decimal"/>
      <w:pStyle w:val="178"/>
      <w:lvlText w:val="（%1）"/>
      <w:lvlJc w:val="left"/>
      <w:pPr>
        <w:ind w:left="1080" w:hanging="1080"/>
      </w:pPr>
      <w:rPr>
        <w:rFonts w:hint="default"/>
      </w:rPr>
    </w:lvl>
    <w:lvl w:ilvl="1" w:tentative="0">
      <w:start w:val="1"/>
      <w:numFmt w:val="lowerLetter"/>
      <w:lvlText w:val="%2)"/>
      <w:lvlJc w:val="left"/>
      <w:pPr>
        <w:ind w:left="1625" w:hanging="420"/>
      </w:pPr>
    </w:lvl>
    <w:lvl w:ilvl="2" w:tentative="0">
      <w:start w:val="1"/>
      <w:numFmt w:val="lowerRoman"/>
      <w:lvlText w:val="%3."/>
      <w:lvlJc w:val="right"/>
      <w:pPr>
        <w:ind w:left="2045" w:hanging="420"/>
      </w:pPr>
    </w:lvl>
    <w:lvl w:ilvl="3" w:tentative="0">
      <w:start w:val="1"/>
      <w:numFmt w:val="decimal"/>
      <w:lvlText w:val="%4."/>
      <w:lvlJc w:val="left"/>
      <w:pPr>
        <w:ind w:left="2465" w:hanging="420"/>
      </w:pPr>
    </w:lvl>
    <w:lvl w:ilvl="4" w:tentative="0">
      <w:start w:val="1"/>
      <w:numFmt w:val="lowerLetter"/>
      <w:lvlText w:val="%5)"/>
      <w:lvlJc w:val="left"/>
      <w:pPr>
        <w:ind w:left="2885" w:hanging="420"/>
      </w:pPr>
    </w:lvl>
    <w:lvl w:ilvl="5" w:tentative="0">
      <w:start w:val="1"/>
      <w:numFmt w:val="lowerRoman"/>
      <w:lvlText w:val="%6."/>
      <w:lvlJc w:val="right"/>
      <w:pPr>
        <w:ind w:left="3305" w:hanging="420"/>
      </w:pPr>
    </w:lvl>
    <w:lvl w:ilvl="6" w:tentative="0">
      <w:start w:val="1"/>
      <w:numFmt w:val="decimal"/>
      <w:lvlText w:val="%7."/>
      <w:lvlJc w:val="left"/>
      <w:pPr>
        <w:ind w:left="3725" w:hanging="420"/>
      </w:pPr>
    </w:lvl>
    <w:lvl w:ilvl="7" w:tentative="0">
      <w:start w:val="1"/>
      <w:numFmt w:val="lowerLetter"/>
      <w:lvlText w:val="%8)"/>
      <w:lvlJc w:val="left"/>
      <w:pPr>
        <w:ind w:left="4145" w:hanging="420"/>
      </w:pPr>
    </w:lvl>
    <w:lvl w:ilvl="8" w:tentative="0">
      <w:start w:val="1"/>
      <w:numFmt w:val="lowerRoman"/>
      <w:lvlText w:val="%9."/>
      <w:lvlJc w:val="right"/>
      <w:pPr>
        <w:ind w:left="4565" w:hanging="42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7E"/>
    <w:rsid w:val="000925CA"/>
    <w:rsid w:val="0015074B"/>
    <w:rsid w:val="002664C5"/>
    <w:rsid w:val="0029639D"/>
    <w:rsid w:val="00326F90"/>
    <w:rsid w:val="00374BBB"/>
    <w:rsid w:val="003B4051"/>
    <w:rsid w:val="0040728D"/>
    <w:rsid w:val="00451E47"/>
    <w:rsid w:val="00471EFC"/>
    <w:rsid w:val="00612F5D"/>
    <w:rsid w:val="00662D44"/>
    <w:rsid w:val="006874BB"/>
    <w:rsid w:val="007113BB"/>
    <w:rsid w:val="00752F40"/>
    <w:rsid w:val="007B3509"/>
    <w:rsid w:val="00875C1E"/>
    <w:rsid w:val="008E2ABE"/>
    <w:rsid w:val="009526E6"/>
    <w:rsid w:val="009D1CC0"/>
    <w:rsid w:val="009F54FB"/>
    <w:rsid w:val="00AA1D8D"/>
    <w:rsid w:val="00B47730"/>
    <w:rsid w:val="00CB0664"/>
    <w:rsid w:val="00E47D37"/>
    <w:rsid w:val="00EE7AB4"/>
    <w:rsid w:val="00FB63C4"/>
    <w:rsid w:val="00FC693F"/>
    <w:rsid w:val="04E40141"/>
    <w:rsid w:val="0B7618CA"/>
    <w:rsid w:val="14391796"/>
    <w:rsid w:val="171C5E57"/>
    <w:rsid w:val="23221A11"/>
    <w:rsid w:val="27B75155"/>
    <w:rsid w:val="2EFE391C"/>
    <w:rsid w:val="37CFD2A3"/>
    <w:rsid w:val="395A4645"/>
    <w:rsid w:val="3EDA6B0C"/>
    <w:rsid w:val="3FFF4329"/>
    <w:rsid w:val="4804405E"/>
    <w:rsid w:val="4A5D10BC"/>
    <w:rsid w:val="53E421E6"/>
    <w:rsid w:val="58FA58CE"/>
    <w:rsid w:val="5BFBC1F0"/>
    <w:rsid w:val="5BFC6F5F"/>
    <w:rsid w:val="5BFFC4F3"/>
    <w:rsid w:val="5CE768A3"/>
    <w:rsid w:val="5EF675F4"/>
    <w:rsid w:val="5F1D41BA"/>
    <w:rsid w:val="5F5908DF"/>
    <w:rsid w:val="5FBF6358"/>
    <w:rsid w:val="65290C3F"/>
    <w:rsid w:val="6A526CDE"/>
    <w:rsid w:val="6E7B2187"/>
    <w:rsid w:val="6F7DF9AB"/>
    <w:rsid w:val="6FA71EE7"/>
    <w:rsid w:val="6FB3BCD7"/>
    <w:rsid w:val="71FC1B37"/>
    <w:rsid w:val="76F75F5F"/>
    <w:rsid w:val="77A9ADF8"/>
    <w:rsid w:val="79B7A916"/>
    <w:rsid w:val="7D1D3B52"/>
    <w:rsid w:val="7EFC7BD8"/>
    <w:rsid w:val="7FAE1153"/>
    <w:rsid w:val="7FDBD3A4"/>
    <w:rsid w:val="7FDD66B3"/>
    <w:rsid w:val="7FFFFA34"/>
    <w:rsid w:val="B697C328"/>
    <w:rsid w:val="B8FF1920"/>
    <w:rsid w:val="BC7313B8"/>
    <w:rsid w:val="BDEBF2E7"/>
    <w:rsid w:val="D4FB8ADC"/>
    <w:rsid w:val="DF586F56"/>
    <w:rsid w:val="E6CEBE7C"/>
    <w:rsid w:val="EBBE7048"/>
    <w:rsid w:val="EBFB8409"/>
    <w:rsid w:val="EFF6454D"/>
    <w:rsid w:val="EFFF4C0E"/>
    <w:rsid w:val="F5FBF597"/>
    <w:rsid w:val="FBF96FFE"/>
    <w:rsid w:val="FDFB18F8"/>
    <w:rsid w:val="FECA2CD3"/>
    <w:rsid w:val="FECE18BF"/>
    <w:rsid w:val="FEFFEFDF"/>
    <w:rsid w:val="FFBF6479"/>
    <w:rsid w:val="FFBFC5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jc w:val="both"/>
    </w:pPr>
    <w:rPr>
      <w:rFonts w:ascii="Arial" w:hAnsi="Arial" w:eastAsia="宋体" w:cstheme="minorBidi"/>
      <w:sz w:val="24"/>
      <w:szCs w:val="22"/>
      <w:lang w:val="en-US" w:eastAsia="en-US" w:bidi="ar-SA"/>
    </w:rPr>
  </w:style>
  <w:style w:type="paragraph" w:styleId="3">
    <w:name w:val="heading 1"/>
    <w:basedOn w:val="1"/>
    <w:next w:val="1"/>
    <w:link w:val="148"/>
    <w:qFormat/>
    <w:uiPriority w:val="9"/>
    <w:pPr>
      <w:keepNext/>
      <w:keepLines/>
      <w:spacing w:before="280" w:after="120" w:line="312" w:lineRule="auto"/>
      <w:jc w:val="lef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9"/>
    <w:unhideWhenUsed/>
    <w:qFormat/>
    <w:uiPriority w:val="9"/>
    <w:pPr>
      <w:keepNext/>
      <w:keepLines/>
      <w:spacing w:before="220" w:after="100" w:line="312" w:lineRule="auto"/>
      <w:jc w:val="left"/>
      <w:outlineLvl w:val="1"/>
    </w:pPr>
    <w:rPr>
      <w:rFonts w:asciiTheme="majorHAnsi" w:hAnsiTheme="majorHAnsi" w:eastAsiaTheme="majorEastAsia" w:cstheme="majorBidi"/>
      <w:b/>
      <w:bCs/>
      <w:color w:val="000000"/>
      <w:sz w:val="28"/>
      <w:szCs w:val="26"/>
    </w:rPr>
  </w:style>
  <w:style w:type="paragraph" w:styleId="5">
    <w:name w:val="heading 3"/>
    <w:basedOn w:val="1"/>
    <w:next w:val="1"/>
    <w:link w:val="150"/>
    <w:unhideWhenUsed/>
    <w:qFormat/>
    <w:uiPriority w:val="9"/>
    <w:pPr>
      <w:keepNext/>
      <w:keepLines/>
      <w:spacing w:before="180" w:after="80" w:line="312" w:lineRule="auto"/>
      <w:jc w:val="left"/>
      <w:outlineLvl w:val="2"/>
    </w:pPr>
    <w:rPr>
      <w:rFonts w:asciiTheme="majorHAnsi" w:hAnsiTheme="majorHAnsi" w:eastAsiaTheme="majorEastAsia" w:cstheme="majorBidi"/>
      <w:b/>
      <w:bCs/>
      <w:color w:val="000000"/>
    </w:rPr>
  </w:style>
  <w:style w:type="paragraph" w:styleId="6">
    <w:name w:val="heading 4"/>
    <w:basedOn w:val="1"/>
    <w:next w:val="1"/>
    <w:link w:val="16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0">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4"/>
    <w:semiHidden/>
    <w:unhideWhenUsed/>
    <w:qFormat/>
    <w:uiPriority w:val="99"/>
    <w:pPr>
      <w:jc w:val="left"/>
    </w:pPr>
  </w:style>
  <w:style w:type="paragraph" w:styleId="18">
    <w:name w:val="Body Text 3"/>
    <w:basedOn w:val="1"/>
    <w:link w:val="15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next w:val="21"/>
    <w:link w:val="154"/>
    <w:unhideWhenUsed/>
    <w:qFormat/>
    <w:uiPriority w:val="99"/>
    <w:pPr>
      <w:spacing w:after="120"/>
    </w:pPr>
  </w:style>
  <w:style w:type="paragraph" w:styleId="21">
    <w:name w:val="Body Text First Indent"/>
    <w:basedOn w:val="20"/>
    <w:qFormat/>
    <w:uiPriority w:val="99"/>
    <w:pPr>
      <w:ind w:firstLine="420" w:firstLineChars="100"/>
    </w:pPr>
    <w:rPr>
      <w:sz w:val="20"/>
      <w:szCs w:val="20"/>
    </w:r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Balloon Text"/>
    <w:basedOn w:val="1"/>
    <w:link w:val="176"/>
    <w:semiHidden/>
    <w:unhideWhenUsed/>
    <w:qFormat/>
    <w:uiPriority w:val="99"/>
    <w:pPr>
      <w:spacing w:line="240" w:lineRule="auto"/>
    </w:pPr>
    <w:rPr>
      <w:sz w:val="18"/>
      <w:szCs w:val="18"/>
    </w:rPr>
  </w:style>
  <w:style w:type="paragraph" w:styleId="27">
    <w:name w:val="footer"/>
    <w:basedOn w:val="1"/>
    <w:link w:val="146"/>
    <w:unhideWhenUsed/>
    <w:qFormat/>
    <w:uiPriority w:val="99"/>
    <w:pPr>
      <w:tabs>
        <w:tab w:val="center" w:pos="4680"/>
        <w:tab w:val="right" w:pos="9360"/>
      </w:tabs>
      <w:spacing w:line="240" w:lineRule="auto"/>
    </w:pPr>
  </w:style>
  <w:style w:type="paragraph" w:styleId="28">
    <w:name w:val="header"/>
    <w:basedOn w:val="1"/>
    <w:link w:val="145"/>
    <w:unhideWhenUsed/>
    <w:qFormat/>
    <w:uiPriority w:val="99"/>
    <w:pPr>
      <w:tabs>
        <w:tab w:val="center" w:pos="4680"/>
        <w:tab w:val="right" w:pos="9360"/>
      </w:tabs>
      <w:spacing w:line="240" w:lineRule="auto"/>
    </w:pPr>
  </w:style>
  <w:style w:type="paragraph" w:styleId="29">
    <w:name w:val="toc 1"/>
    <w:basedOn w:val="1"/>
    <w:next w:val="1"/>
    <w:unhideWhenUsed/>
    <w:qFormat/>
    <w:uiPriority w:val="39"/>
  </w:style>
  <w:style w:type="paragraph" w:styleId="30">
    <w:name w:val="Subtitle"/>
    <w:basedOn w:val="1"/>
    <w:next w:val="1"/>
    <w:link w:val="15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toc 2"/>
    <w:basedOn w:val="1"/>
    <w:next w:val="1"/>
    <w:unhideWhenUsed/>
    <w:qFormat/>
    <w:uiPriority w:val="39"/>
    <w:pPr>
      <w:ind w:left="420" w:leftChars="200"/>
    </w:pPr>
  </w:style>
  <w:style w:type="paragraph" w:styleId="33">
    <w:name w:val="Body Text 2"/>
    <w:basedOn w:val="1"/>
    <w:link w:val="155"/>
    <w:unhideWhenUsed/>
    <w:qFormat/>
    <w:uiPriority w:val="99"/>
    <w:pPr>
      <w:spacing w:after="120" w:line="480" w:lineRule="auto"/>
    </w:pPr>
  </w:style>
  <w:style w:type="paragraph" w:styleId="34">
    <w:name w:val="List Continue 2"/>
    <w:basedOn w:val="1"/>
    <w:unhideWhenUsed/>
    <w:qFormat/>
    <w:uiPriority w:val="99"/>
    <w:pPr>
      <w:spacing w:after="120"/>
      <w:ind w:left="720"/>
      <w:contextualSpacing/>
    </w:pPr>
  </w:style>
  <w:style w:type="paragraph" w:styleId="3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szCs w:val="24"/>
      <w:lang w:eastAsia="zh-CN"/>
    </w:rPr>
  </w:style>
  <w:style w:type="paragraph" w:styleId="36">
    <w:name w:val="Normal (Web)"/>
    <w:basedOn w:val="1"/>
    <w:qFormat/>
    <w:uiPriority w:val="0"/>
  </w:style>
  <w:style w:type="paragraph" w:styleId="37">
    <w:name w:val="List Continue 3"/>
    <w:basedOn w:val="1"/>
    <w:unhideWhenUsed/>
    <w:qFormat/>
    <w:uiPriority w:val="99"/>
    <w:pPr>
      <w:spacing w:after="120"/>
      <w:ind w:left="1080"/>
      <w:contextualSpacing/>
    </w:pPr>
  </w:style>
  <w:style w:type="paragraph" w:styleId="38">
    <w:name w:val="Title"/>
    <w:basedOn w:val="1"/>
    <w:next w:val="1"/>
    <w:link w:val="15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9">
    <w:name w:val="annotation subject"/>
    <w:basedOn w:val="17"/>
    <w:next w:val="17"/>
    <w:link w:val="175"/>
    <w:semiHidden/>
    <w:unhideWhenUsed/>
    <w:qFormat/>
    <w:uiPriority w:val="99"/>
    <w:rPr>
      <w:b/>
      <w:bCs/>
    </w:r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w:basedOn w:val="40"/>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3">
    <w:name w:val="Light Shading Accent 1"/>
    <w:basedOn w:val="40"/>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Shading Accent 2"/>
    <w:basedOn w:val="40"/>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5">
    <w:name w:val="Light Shading Accent 3"/>
    <w:basedOn w:val="40"/>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6">
    <w:name w:val="Light Shading Accent 4"/>
    <w:basedOn w:val="40"/>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7">
    <w:name w:val="Light Shading Accent 5"/>
    <w:basedOn w:val="40"/>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8">
    <w:name w:val="Light Shading Accent 6"/>
    <w:basedOn w:val="40"/>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9">
    <w:name w:val="Light List"/>
    <w:basedOn w:val="40"/>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0">
    <w:name w:val="Light List Accent 1"/>
    <w:basedOn w:val="40"/>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1">
    <w:name w:val="Light List Accent 2"/>
    <w:basedOn w:val="4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2">
    <w:name w:val="Light List Accent 3"/>
    <w:basedOn w:val="40"/>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3">
    <w:name w:val="Light List Accent 4"/>
    <w:basedOn w:val="40"/>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4">
    <w:name w:val="Light List Accent 5"/>
    <w:basedOn w:val="40"/>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5">
    <w:name w:val="Light List Accent 6"/>
    <w:basedOn w:val="40"/>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6">
    <w:name w:val="Light Grid"/>
    <w:basedOn w:val="40"/>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7">
    <w:name w:val="Light Grid Accent 1"/>
    <w:basedOn w:val="40"/>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8">
    <w:name w:val="Light Grid Accent 2"/>
    <w:basedOn w:val="40"/>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9">
    <w:name w:val="Light Grid Accent 3"/>
    <w:basedOn w:val="40"/>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0">
    <w:name w:val="Light Grid Accent 4"/>
    <w:basedOn w:val="40"/>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1">
    <w:name w:val="Light Grid Accent 5"/>
    <w:basedOn w:val="40"/>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2">
    <w:name w:val="Light Grid Accent 6"/>
    <w:basedOn w:val="40"/>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3">
    <w:name w:val="Medium Shading 1"/>
    <w:basedOn w:val="40"/>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4">
    <w:name w:val="Medium Shading 1 Accent 1"/>
    <w:basedOn w:val="40"/>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5">
    <w:name w:val="Medium Shading 1 Accent 2"/>
    <w:basedOn w:val="40"/>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6">
    <w:name w:val="Medium Shading 1 Accent 3"/>
    <w:basedOn w:val="40"/>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7">
    <w:name w:val="Medium Shading 1 Accent 4"/>
    <w:basedOn w:val="40"/>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8">
    <w:name w:val="Medium Shading 1 Accent 5"/>
    <w:basedOn w:val="40"/>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9">
    <w:name w:val="Medium Shading 1 Accent 6"/>
    <w:basedOn w:val="40"/>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0">
    <w:name w:val="Medium Shading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1"/>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3"/>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4"/>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5"/>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6"/>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List 1"/>
    <w:basedOn w:val="40"/>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8">
    <w:name w:val="Medium List 1 Accent 1"/>
    <w:basedOn w:val="40"/>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9">
    <w:name w:val="Medium List 1 Accent 2"/>
    <w:basedOn w:val="40"/>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0">
    <w:name w:val="Medium List 1 Accent 3"/>
    <w:basedOn w:val="40"/>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1">
    <w:name w:val="Medium List 1 Accent 4"/>
    <w:basedOn w:val="40"/>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2">
    <w:name w:val="Medium List 1 Accent 5"/>
    <w:basedOn w:val="40"/>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3">
    <w:name w:val="Medium List 1 Accent 6"/>
    <w:basedOn w:val="40"/>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4">
    <w:name w:val="Medium Lis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1"/>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3"/>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4"/>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5"/>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6"/>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Grid 1"/>
    <w:basedOn w:val="40"/>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2">
    <w:name w:val="Medium Grid 1 Accent 1"/>
    <w:basedOn w:val="40"/>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3">
    <w:name w:val="Medium Grid 1 Accent 2"/>
    <w:basedOn w:val="40"/>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4">
    <w:name w:val="Medium Grid 1 Accent 3"/>
    <w:basedOn w:val="40"/>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5">
    <w:name w:val="Medium Grid 1 Accent 4"/>
    <w:basedOn w:val="40"/>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6">
    <w:name w:val="Medium Grid 1 Accent 5"/>
    <w:basedOn w:val="40"/>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7">
    <w:name w:val="Medium Grid 1 Accent 6"/>
    <w:basedOn w:val="40"/>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8">
    <w:name w:val="Medium Grid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9">
    <w:name w:val="Medium Grid 2 Accent 1"/>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0">
    <w:name w:val="Medium Grid 2 Accent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1">
    <w:name w:val="Medium Grid 2 Accent 3"/>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2">
    <w:name w:val="Medium Grid 2 Accent 4"/>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3">
    <w:name w:val="Medium Grid 2 Accent 5"/>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4">
    <w:name w:val="Medium Grid 2 Accent 6"/>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5">
    <w:name w:val="Medium Grid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6">
    <w:name w:val="Medium Grid 3 Accent 1"/>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7">
    <w:name w:val="Medium Grid 3 Accent 2"/>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8">
    <w:name w:val="Medium Grid 3 Accent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9">
    <w:name w:val="Medium Grid 3 Accent 4"/>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0">
    <w:name w:val="Medium Grid 3 Accent 5"/>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1">
    <w:name w:val="Medium Grid 3 Accent 6"/>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2">
    <w:name w:val="Dark List"/>
    <w:basedOn w:val="40"/>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3">
    <w:name w:val="Dark List Accent 1"/>
    <w:basedOn w:val="40"/>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4">
    <w:name w:val="Dark List Accent 2"/>
    <w:basedOn w:val="40"/>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5">
    <w:name w:val="Dark List Accent 3"/>
    <w:basedOn w:val="40"/>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6">
    <w:name w:val="Dark List Accent 4"/>
    <w:basedOn w:val="40"/>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7">
    <w:name w:val="Dark List Accent 5"/>
    <w:basedOn w:val="40"/>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8">
    <w:name w:val="Dark List Accent 6"/>
    <w:basedOn w:val="40"/>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9">
    <w:name w:val="Colorful Shading"/>
    <w:basedOn w:val="40"/>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1"/>
    <w:basedOn w:val="40"/>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2"/>
    <w:basedOn w:val="40"/>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3"/>
    <w:basedOn w:val="40"/>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3">
    <w:name w:val="Colorful Shading Accent 4"/>
    <w:basedOn w:val="40"/>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5"/>
    <w:basedOn w:val="40"/>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6"/>
    <w:basedOn w:val="40"/>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List"/>
    <w:basedOn w:val="40"/>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7">
    <w:name w:val="Colorful List Accent 1"/>
    <w:basedOn w:val="40"/>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8">
    <w:name w:val="Colorful List Accent 2"/>
    <w:basedOn w:val="40"/>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9">
    <w:name w:val="Colorful List Accent 3"/>
    <w:basedOn w:val="40"/>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0">
    <w:name w:val="Colorful List Accent 4"/>
    <w:basedOn w:val="40"/>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Colorful List Accent 5"/>
    <w:basedOn w:val="40"/>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2">
    <w:name w:val="Colorful List Accent 6"/>
    <w:basedOn w:val="40"/>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3">
    <w:name w:val="Colorful Grid"/>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4">
    <w:name w:val="Colorful Grid Accent 1"/>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5">
    <w:name w:val="Colorful Grid Accent 2"/>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6">
    <w:name w:val="Colorful Grid Accent 3"/>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7">
    <w:name w:val="Colorful Grid Accent 4"/>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8">
    <w:name w:val="Colorful Grid Accent 5"/>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9">
    <w:name w:val="Colorful Grid Accent 6"/>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1">
    <w:name w:val="Strong"/>
    <w:basedOn w:val="140"/>
    <w:qFormat/>
    <w:uiPriority w:val="22"/>
    <w:rPr>
      <w:b/>
      <w:bCs/>
    </w:rPr>
  </w:style>
  <w:style w:type="character" w:styleId="142">
    <w:name w:val="Emphasis"/>
    <w:basedOn w:val="140"/>
    <w:qFormat/>
    <w:uiPriority w:val="20"/>
    <w:rPr>
      <w:i/>
      <w:iCs/>
    </w:rPr>
  </w:style>
  <w:style w:type="character" w:styleId="143">
    <w:name w:val="Hyperlink"/>
    <w:basedOn w:val="140"/>
    <w:unhideWhenUsed/>
    <w:qFormat/>
    <w:uiPriority w:val="99"/>
    <w:rPr>
      <w:color w:val="0000FF" w:themeColor="hyperlink"/>
      <w:u w:val="single"/>
      <w14:textFill>
        <w14:solidFill>
          <w14:schemeClr w14:val="hlink"/>
        </w14:solidFill>
      </w14:textFill>
    </w:rPr>
  </w:style>
  <w:style w:type="character" w:styleId="144">
    <w:name w:val="annotation reference"/>
    <w:basedOn w:val="140"/>
    <w:semiHidden/>
    <w:unhideWhenUsed/>
    <w:qFormat/>
    <w:uiPriority w:val="99"/>
    <w:rPr>
      <w:sz w:val="21"/>
      <w:szCs w:val="21"/>
    </w:rPr>
  </w:style>
  <w:style w:type="character" w:customStyle="1" w:styleId="145">
    <w:name w:val="页眉 字符"/>
    <w:basedOn w:val="140"/>
    <w:link w:val="28"/>
    <w:qFormat/>
    <w:uiPriority w:val="99"/>
  </w:style>
  <w:style w:type="character" w:customStyle="1" w:styleId="146">
    <w:name w:val="页脚 字符"/>
    <w:basedOn w:val="140"/>
    <w:link w:val="27"/>
    <w:qFormat/>
    <w:uiPriority w:val="99"/>
  </w:style>
  <w:style w:type="paragraph" w:styleId="147">
    <w:name w:val="No Spacing"/>
    <w:qFormat/>
    <w:uiPriority w:val="1"/>
    <w:rPr>
      <w:rFonts w:asciiTheme="minorHAnsi" w:hAnsiTheme="minorHAnsi" w:eastAsiaTheme="minorEastAsia" w:cstheme="minorBidi"/>
      <w:sz w:val="22"/>
      <w:szCs w:val="22"/>
      <w:lang w:val="en-US" w:eastAsia="en-US" w:bidi="ar-SA"/>
    </w:rPr>
  </w:style>
  <w:style w:type="character" w:customStyle="1" w:styleId="148">
    <w:name w:val="标题 1 字符"/>
    <w:basedOn w:val="140"/>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9">
    <w:name w:val="标题 2 字符"/>
    <w:basedOn w:val="140"/>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0">
    <w:name w:val="标题 3 字符"/>
    <w:basedOn w:val="140"/>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1">
    <w:name w:val="标题 字符"/>
    <w:basedOn w:val="140"/>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2">
    <w:name w:val="副标题 字符"/>
    <w:basedOn w:val="140"/>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3">
    <w:name w:val="List Paragraph"/>
    <w:basedOn w:val="1"/>
    <w:qFormat/>
    <w:uiPriority w:val="34"/>
    <w:pPr>
      <w:ind w:left="720"/>
      <w:contextualSpacing/>
    </w:pPr>
  </w:style>
  <w:style w:type="character" w:customStyle="1" w:styleId="154">
    <w:name w:val="正文文本 字符"/>
    <w:basedOn w:val="140"/>
    <w:link w:val="20"/>
    <w:qFormat/>
    <w:uiPriority w:val="99"/>
  </w:style>
  <w:style w:type="character" w:customStyle="1" w:styleId="155">
    <w:name w:val="正文文本 2 字符"/>
    <w:basedOn w:val="140"/>
    <w:link w:val="33"/>
    <w:qFormat/>
    <w:uiPriority w:val="99"/>
  </w:style>
  <w:style w:type="character" w:customStyle="1" w:styleId="156">
    <w:name w:val="正文文本 3 字符"/>
    <w:basedOn w:val="140"/>
    <w:link w:val="18"/>
    <w:qFormat/>
    <w:uiPriority w:val="99"/>
    <w:rPr>
      <w:sz w:val="16"/>
      <w:szCs w:val="16"/>
    </w:rPr>
  </w:style>
  <w:style w:type="character" w:customStyle="1" w:styleId="157">
    <w:name w:val="宏文本 字符"/>
    <w:basedOn w:val="140"/>
    <w:link w:val="2"/>
    <w:qFormat/>
    <w:uiPriority w:val="99"/>
    <w:rPr>
      <w:rFonts w:ascii="Courier" w:hAnsi="Courier"/>
      <w:sz w:val="20"/>
      <w:szCs w:val="20"/>
    </w:rPr>
  </w:style>
  <w:style w:type="paragraph" w:styleId="158">
    <w:name w:val="Quote"/>
    <w:basedOn w:val="1"/>
    <w:next w:val="1"/>
    <w:link w:val="159"/>
    <w:qFormat/>
    <w:uiPriority w:val="29"/>
    <w:rPr>
      <w:i/>
      <w:iCs/>
      <w:color w:val="000000" w:themeColor="text1"/>
      <w14:textFill>
        <w14:solidFill>
          <w14:schemeClr w14:val="tx1"/>
        </w14:solidFill>
      </w14:textFill>
    </w:rPr>
  </w:style>
  <w:style w:type="character" w:customStyle="1" w:styleId="159">
    <w:name w:val="引用 字符"/>
    <w:basedOn w:val="140"/>
    <w:link w:val="158"/>
    <w:qFormat/>
    <w:uiPriority w:val="29"/>
    <w:rPr>
      <w:i/>
      <w:iCs/>
      <w:color w:val="000000" w:themeColor="text1"/>
      <w14:textFill>
        <w14:solidFill>
          <w14:schemeClr w14:val="tx1"/>
        </w14:solidFill>
      </w14:textFill>
    </w:rPr>
  </w:style>
  <w:style w:type="character" w:customStyle="1" w:styleId="160">
    <w:name w:val="标题 4 字符"/>
    <w:basedOn w:val="140"/>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1">
    <w:name w:val="标题 5 字符"/>
    <w:basedOn w:val="140"/>
    <w:link w:val="7"/>
    <w:semiHidden/>
    <w:qFormat/>
    <w:uiPriority w:val="9"/>
    <w:rPr>
      <w:rFonts w:asciiTheme="majorHAnsi" w:hAnsiTheme="majorHAnsi" w:eastAsiaTheme="majorEastAsia" w:cstheme="majorBidi"/>
      <w:color w:val="254061" w:themeColor="accent1" w:themeShade="80"/>
    </w:rPr>
  </w:style>
  <w:style w:type="character" w:customStyle="1" w:styleId="162">
    <w:name w:val="标题 6 字符"/>
    <w:basedOn w:val="140"/>
    <w:link w:val="8"/>
    <w:semiHidden/>
    <w:qFormat/>
    <w:uiPriority w:val="9"/>
    <w:rPr>
      <w:rFonts w:asciiTheme="majorHAnsi" w:hAnsiTheme="majorHAnsi" w:eastAsiaTheme="majorEastAsia" w:cstheme="majorBidi"/>
      <w:i/>
      <w:iCs/>
      <w:color w:val="254061" w:themeColor="accent1" w:themeShade="80"/>
    </w:rPr>
  </w:style>
  <w:style w:type="character" w:customStyle="1" w:styleId="163">
    <w:name w:val="标题 7 字符"/>
    <w:basedOn w:val="140"/>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4">
    <w:name w:val="标题 8 字符"/>
    <w:basedOn w:val="140"/>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标题 9 字符"/>
    <w:basedOn w:val="140"/>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6">
    <w:name w:val="Intense Quote"/>
    <w:basedOn w:val="1"/>
    <w:next w:val="1"/>
    <w:link w:val="1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7">
    <w:name w:val="明显引用 字符"/>
    <w:basedOn w:val="140"/>
    <w:link w:val="166"/>
    <w:qFormat/>
    <w:uiPriority w:val="30"/>
    <w:rPr>
      <w:b/>
      <w:bCs/>
      <w:i/>
      <w:iCs/>
      <w:color w:val="4F81BD" w:themeColor="accent1"/>
      <w14:textFill>
        <w14:solidFill>
          <w14:schemeClr w14:val="accent1"/>
        </w14:solidFill>
      </w14:textFill>
    </w:rPr>
  </w:style>
  <w:style w:type="character" w:customStyle="1" w:styleId="168">
    <w:name w:val="不明显强调1"/>
    <w:basedOn w:val="140"/>
    <w:qFormat/>
    <w:uiPriority w:val="19"/>
    <w:rPr>
      <w:i/>
      <w:iCs/>
      <w:color w:val="808080" w:themeColor="text1" w:themeTint="80"/>
      <w14:textFill>
        <w14:solidFill>
          <w14:schemeClr w14:val="tx1">
            <w14:lumMod w14:val="50000"/>
            <w14:lumOff w14:val="50000"/>
          </w14:schemeClr>
        </w14:solidFill>
      </w14:textFill>
    </w:rPr>
  </w:style>
  <w:style w:type="character" w:customStyle="1" w:styleId="169">
    <w:name w:val="明显强调1"/>
    <w:basedOn w:val="140"/>
    <w:qFormat/>
    <w:uiPriority w:val="21"/>
    <w:rPr>
      <w:b/>
      <w:bCs/>
      <w:i/>
      <w:iCs/>
      <w:color w:val="4F81BD" w:themeColor="accent1"/>
      <w14:textFill>
        <w14:solidFill>
          <w14:schemeClr w14:val="accent1"/>
        </w14:solidFill>
      </w14:textFill>
    </w:rPr>
  </w:style>
  <w:style w:type="character" w:customStyle="1" w:styleId="170">
    <w:name w:val="不明显参考1"/>
    <w:basedOn w:val="140"/>
    <w:qFormat/>
    <w:uiPriority w:val="31"/>
    <w:rPr>
      <w:smallCaps/>
      <w:color w:val="C0504D" w:themeColor="accent2"/>
      <w:u w:val="single"/>
      <w14:textFill>
        <w14:solidFill>
          <w14:schemeClr w14:val="accent2"/>
        </w14:solidFill>
      </w14:textFill>
    </w:rPr>
  </w:style>
  <w:style w:type="character" w:customStyle="1" w:styleId="171">
    <w:name w:val="明显参考1"/>
    <w:basedOn w:val="140"/>
    <w:qFormat/>
    <w:uiPriority w:val="32"/>
    <w:rPr>
      <w:b/>
      <w:bCs/>
      <w:smallCaps/>
      <w:color w:val="C0504D" w:themeColor="accent2"/>
      <w:spacing w:val="5"/>
      <w:u w:val="single"/>
      <w14:textFill>
        <w14:solidFill>
          <w14:schemeClr w14:val="accent2"/>
        </w14:solidFill>
      </w14:textFill>
    </w:rPr>
  </w:style>
  <w:style w:type="character" w:customStyle="1" w:styleId="172">
    <w:name w:val="书籍标题1"/>
    <w:basedOn w:val="140"/>
    <w:qFormat/>
    <w:uiPriority w:val="33"/>
    <w:rPr>
      <w:b/>
      <w:bCs/>
      <w:smallCaps/>
      <w:spacing w:val="5"/>
    </w:rPr>
  </w:style>
  <w:style w:type="paragraph" w:customStyle="1" w:styleId="173">
    <w:name w:val="TOC 标题1"/>
    <w:basedOn w:val="3"/>
    <w:next w:val="1"/>
    <w:semiHidden/>
    <w:unhideWhenUsed/>
    <w:qFormat/>
    <w:uiPriority w:val="39"/>
    <w:pPr>
      <w:outlineLvl w:val="9"/>
    </w:pPr>
  </w:style>
  <w:style w:type="character" w:customStyle="1" w:styleId="174">
    <w:name w:val="批注文字 字符"/>
    <w:basedOn w:val="140"/>
    <w:link w:val="17"/>
    <w:semiHidden/>
    <w:qFormat/>
    <w:uiPriority w:val="99"/>
    <w:rPr>
      <w:rFonts w:ascii="Arial" w:hAnsi="Arial" w:eastAsia="宋体"/>
      <w:sz w:val="24"/>
    </w:rPr>
  </w:style>
  <w:style w:type="character" w:customStyle="1" w:styleId="175">
    <w:name w:val="批注主题 字符"/>
    <w:basedOn w:val="174"/>
    <w:link w:val="39"/>
    <w:semiHidden/>
    <w:qFormat/>
    <w:uiPriority w:val="99"/>
    <w:rPr>
      <w:rFonts w:ascii="Arial" w:hAnsi="Arial" w:eastAsia="宋体"/>
      <w:b/>
      <w:bCs/>
      <w:sz w:val="24"/>
    </w:rPr>
  </w:style>
  <w:style w:type="character" w:customStyle="1" w:styleId="176">
    <w:name w:val="批注框文本 字符"/>
    <w:basedOn w:val="140"/>
    <w:link w:val="26"/>
    <w:semiHidden/>
    <w:qFormat/>
    <w:uiPriority w:val="99"/>
    <w:rPr>
      <w:rFonts w:ascii="Arial" w:hAnsi="Arial" w:eastAsia="宋体"/>
      <w:sz w:val="18"/>
      <w:szCs w:val="18"/>
    </w:rPr>
  </w:style>
  <w:style w:type="paragraph" w:customStyle="1" w:styleId="17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8">
    <w:name w:val="列出段落1"/>
    <w:basedOn w:val="1"/>
    <w:qFormat/>
    <w:uiPriority w:val="34"/>
    <w:pPr>
      <w:numPr>
        <w:ilvl w:val="0"/>
        <w:numId w:val="7"/>
      </w:numPr>
      <w:spacing w:line="300" w:lineRule="auto"/>
      <w:jc w:val="left"/>
    </w:pPr>
  </w:style>
  <w:style w:type="paragraph" w:customStyle="1" w:styleId="179">
    <w:name w:val="表格文字"/>
    <w:basedOn w:val="1"/>
    <w:next w:val="20"/>
    <w:qFormat/>
    <w:uiPriority w:val="0"/>
    <w:pPr>
      <w:snapToGrid w:val="0"/>
      <w:spacing w:before="120"/>
    </w:pPr>
    <w:rPr>
      <w:szCs w:val="20"/>
      <w:lang w:bidi="he-IL"/>
    </w:rPr>
  </w:style>
  <w:style w:type="paragraph" w:customStyle="1" w:styleId="180">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1885</Words>
  <Characters>2099</Characters>
  <Lines>37</Lines>
  <Paragraphs>10</Paragraphs>
  <TotalTime>4</TotalTime>
  <ScaleCrop>false</ScaleCrop>
  <LinksUpToDate>false</LinksUpToDate>
  <CharactersWithSpaces>2107</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2026-09-07T00:26:00Z</dcterms:created>
  <dc:creator>python-docx</dc:creator>
  <dc:description>generated by python-docx</dc:description>
  <cp:lastModifiedBy>user</cp:lastModifiedBy>
  <dcterms:modified xsi:type="dcterms:W3CDTF">2026-10-10T13:32:03Z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eyJoZGlkIjoiNDQzMDdlZTExNTRhZmYwZmJlMThlYTRlNDY4NzYyNjMiLCJ1c2VySWQiOiIxMjQ3NTY4MjIyIn0=</vt:lpwstr>
  </property>
  <property fmtid="{D5CDD505-2E9C-101B-9397-08002B2CF9AE}" pid="3" name="KSOProductBuildVer">
    <vt:lpwstr>2052-11.8.2.11717</vt:lpwstr>
  </property>
  <property fmtid="{D5CDD505-2E9C-101B-9397-08002B2CF9AE}" pid="4" name="ICV">
    <vt:lpwstr>D937FA9556A2A5973177C86AF29BABD9</vt:lpwstr>
  </property>
</Properties>
</file>